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Editable Word Companion — Quality Assurance Report</w:t>
      </w:r>
    </w:p>
    <w:p>
      <w:r>
        <w:t>This audit opened every generated DOCX file with an editable Word-document reader, confirmed that each file exists and contains editable paragraph or table content, and scanned every student document for answer and teacher-only headings that must remain excluded.</w:t>
      </w:r>
    </w:p>
    <w:p>
      <w:r>
        <w:t>Result: 142 source-sliced editable DOCX files were audited. The automated audit found 0 issue(s).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040"/>
        <w:gridCol w:w="5040"/>
      </w:tblGrid>
      <w:tr>
        <w:tc>
          <w:tcPr>
            <w:tcW w:type="dxa" w:w="5040"/>
          </w:tcPr>
          <w:p>
            <w:r>
              <w:t>Audience</w:t>
            </w:r>
          </w:p>
        </w:tc>
        <w:tc>
          <w:tcPr>
            <w:tcW w:type="dxa" w:w="5040"/>
          </w:tcPr>
          <w:p>
            <w:r>
              <w:t>Created editable DOCX files</w:t>
            </w:r>
          </w:p>
        </w:tc>
      </w:tr>
      <w:tr>
        <w:tc>
          <w:tcPr>
            <w:tcW w:type="dxa" w:w="5040"/>
          </w:tcPr>
          <w:p>
            <w:r>
              <w:t>Student</w:t>
            </w:r>
          </w:p>
        </w:tc>
        <w:tc>
          <w:tcPr>
            <w:tcW w:type="dxa" w:w="5040"/>
          </w:tcPr>
          <w:p>
            <w:r>
              <w:t>126</w:t>
            </w:r>
          </w:p>
        </w:tc>
      </w:tr>
      <w:tr>
        <w:tc>
          <w:tcPr>
            <w:tcW w:type="dxa" w:w="5040"/>
          </w:tcPr>
          <w:p>
            <w:r>
              <w:t>Teacher</w:t>
            </w:r>
          </w:p>
        </w:tc>
        <w:tc>
          <w:tcPr>
            <w:tcW w:type="dxa" w:w="5040"/>
          </w:tcPr>
          <w:p>
            <w:r>
              <w:t>16</w:t>
            </w:r>
          </w:p>
        </w:tc>
      </w:tr>
    </w:tbl>
    <w:p>
      <w:pPr>
        <w:pStyle w:val="Heading1"/>
      </w:pPr>
      <w:r>
        <w:t>Intentional Omissions</w:t>
      </w:r>
    </w:p>
    <w:p>
      <w:r>
        <w:t>Chapter 6: Revision, Strategy, and Transfer Packet — The source chapter does not contain this standalone resource.</w:t>
      </w:r>
    </w:p>
    <w:p>
      <w:r>
        <w:t>Chapter 16: Extend Your Thinking — The source chapter does not contain this standalone resource.</w:t>
      </w:r>
    </w:p>
    <w:p>
      <w:pPr>
        <w:pStyle w:val="Heading1"/>
      </w:pPr>
      <w:r>
        <w:t>Audit Issues</w:t>
      </w:r>
    </w:p>
    <w:p>
      <w:r>
        <w:t>No file-integrity, editability, or student-content-separation issues were found in the automated audit.</w:t>
      </w:r>
    </w:p>
    <w:sectPr w:rsidR="00FC693F" w:rsidRPr="0006063C" w:rsidSect="00034616">
      <w:pgSz w:w="12240" w:h="15840"/>
      <w:pgMar w:top="864" w:right="864" w:bottom="864" w:left="864" w:header="576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Georgia" w:hAnsi="Georgia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="Georgia" w:eastAsia="Georgia" w:hAnsi="Georgia" w:cs="Georgia"/>
      <w:b/>
      <w:bCs/>
      <w:color w:val="146B6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="Georgia" w:eastAsia="Georgia" w:hAnsi="Georgia" w:cs="Georgia"/>
      <w:b/>
      <w:bCs/>
      <w:color w:val="146B66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="Georgia" w:eastAsia="Georgia" w:hAnsi="Georgia" w:cs="Georgia"/>
      <w:b/>
      <w:bCs/>
      <w:color w:val="146B66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="Georgia" w:eastAsia="Georgia" w:hAnsi="Georgia" w:cs="Georgia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color w:val="146B66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="Georgia" w:eastAsia="Georgia" w:hAnsi="Georgia" w:cs="Georgia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Georgia" w:hAnsi="Georgia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="Georgia" w:eastAsia="Georgia" w:hAnsi="Georgia" w:cs="Georg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eorg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